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7A" w:rsidRDefault="00956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97622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9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7A" w:rsidRDefault="00956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6F7A" w:rsidRDefault="00956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A51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казённое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:rsidR="0087778F" w:rsidRPr="00BA49E9" w:rsidRDefault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 19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пос.Нижнезольского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49E9" w:rsidRPr="00BA49E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5"/>
        <w:gridCol w:w="156"/>
        <w:gridCol w:w="493"/>
        <w:gridCol w:w="4079"/>
      </w:tblGrid>
      <w:tr w:rsidR="0087778F" w:rsidTr="007B20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7778F" w:rsidRPr="00956F7A" w:rsidTr="007B20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МКОУ СОШ № 19</w:t>
            </w:r>
          </w:p>
          <w:p w:rsidR="00BA49E9" w:rsidRPr="00BA49E9" w:rsidRDefault="00BA49E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пос.Нижнезольского</w:t>
            </w:r>
            <w:proofErr w:type="spellEnd"/>
          </w:p>
        </w:tc>
      </w:tr>
      <w:tr w:rsidR="00BA49E9" w:rsidTr="007B20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пос.Нижнезольского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 w:rsidP="00BA49E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О.М.Атоян</w:t>
            </w:r>
            <w:proofErr w:type="spellEnd"/>
          </w:p>
        </w:tc>
      </w:tr>
      <w:tr w:rsidR="0087778F" w:rsidRPr="00BA49E9" w:rsidTr="007B20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 w:rsidP="0069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30.03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9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</w:t>
            </w:r>
            <w:r w:rsid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___30.03.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EA5A51" w:rsidRDefault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A51" w:rsidRPr="00EA5A51" w:rsidRDefault="00EA5A51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BA49E9" w:rsidRPr="00EA5A51" w:rsidRDefault="00BA49E9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Отчет</w:t>
      </w:r>
      <w:r w:rsidRPr="00EA5A51">
        <w:rPr>
          <w:sz w:val="52"/>
          <w:szCs w:val="52"/>
          <w:lang w:val="ru-RU"/>
        </w:rPr>
        <w:br/>
      </w: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о результатах </w:t>
      </w:r>
      <w:proofErr w:type="spellStart"/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самообследования</w:t>
      </w:r>
      <w:proofErr w:type="spellEnd"/>
      <w:r w:rsidRPr="00EA5A51">
        <w:rPr>
          <w:sz w:val="52"/>
          <w:szCs w:val="52"/>
          <w:lang w:val="ru-RU"/>
        </w:rPr>
        <w:br/>
      </w: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муниципального казённого общеобразовательного учреждения</w:t>
      </w:r>
    </w:p>
    <w:p w:rsidR="0087778F" w:rsidRPr="00EA5A51" w:rsidRDefault="00BA49E9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«Средняя общеобразовательная школа № 19 </w:t>
      </w:r>
      <w:proofErr w:type="spellStart"/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пос.Нижнезольского</w:t>
      </w:r>
      <w:proofErr w:type="spellEnd"/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»</w:t>
      </w:r>
      <w:r w:rsidRPr="00EA5A51">
        <w:rPr>
          <w:sz w:val="52"/>
          <w:szCs w:val="52"/>
          <w:lang w:val="ru-RU"/>
        </w:rPr>
        <w:br/>
      </w: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за 2023</w:t>
      </w:r>
      <w:r w:rsidRPr="00EA5A51">
        <w:rPr>
          <w:rFonts w:hAnsi="Times New Roman" w:cs="Times New Roman"/>
          <w:color w:val="000000"/>
          <w:sz w:val="52"/>
          <w:szCs w:val="52"/>
        </w:rPr>
        <w:t> </w:t>
      </w:r>
      <w:r w:rsidRPr="00EA5A5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год</w:t>
      </w:r>
    </w:p>
    <w:p w:rsidR="0087778F" w:rsidRPr="00EA5A51" w:rsidRDefault="0087778F">
      <w:pPr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EA5A51" w:rsidRPr="00EA5A51" w:rsidRDefault="00EA5A51">
      <w:pPr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EA5A51" w:rsidRPr="00EA5A51" w:rsidRDefault="00EA5A51">
      <w:pPr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ижнезольский</w:t>
      </w:r>
      <w:proofErr w:type="spellEnd"/>
    </w:p>
    <w:p w:rsidR="00EA5A51" w:rsidRPr="00BA49E9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EA5A51" w:rsidRDefault="00BA49E9" w:rsidP="00EA5A5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EA5A51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АНАЛИТИЧЕСКАЯ ЧАСТЬ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1"/>
        <w:gridCol w:w="6436"/>
      </w:tblGrid>
      <w:tr w:rsidR="00BA49E9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казённое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общеобразовательная школа №19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пос.Нижнезольского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90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(МКОУ СОШ № 19 </w:t>
            </w:r>
            <w:proofErr w:type="spellStart"/>
            <w:r w:rsid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пос.Нижнезольского</w:t>
            </w:r>
            <w:proofErr w:type="spellEnd"/>
            <w:r w:rsid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Атоян</w:t>
            </w:r>
            <w:proofErr w:type="spellEnd"/>
          </w:p>
        </w:tc>
      </w:tr>
      <w:tr w:rsidR="00BA49E9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357806, Ставропольский край, Георгиевский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пос.Нижнезольский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ул.Школьная 1</w:t>
            </w:r>
          </w:p>
        </w:tc>
      </w:tr>
      <w:tr w:rsid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(87951)36333</w:t>
            </w:r>
          </w:p>
        </w:tc>
      </w:tr>
      <w:tr w:rsid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 w:rsidP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shool119@mail.ru</w:t>
            </w:r>
          </w:p>
        </w:tc>
      </w:tr>
      <w:tr w:rsid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Георгиевского муниципального округа</w:t>
            </w:r>
          </w:p>
        </w:tc>
      </w:tr>
      <w:tr w:rsid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1972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A49E9" w:rsidRPr="00E90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E90B59" w:rsidRDefault="00E90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01.03.2016 г. № 4619 серия 26 Л 01 № 0000865</w:t>
            </w:r>
          </w:p>
        </w:tc>
      </w:tr>
      <w:tr w:rsidR="00BA49E9" w:rsidRPr="00BA4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E90B5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E90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27.05.2015г. № 2576 серия 26 А 02 № 0000340</w:t>
            </w:r>
          </w:p>
        </w:tc>
      </w:tr>
    </w:tbl>
    <w:p w:rsidR="00E90B59" w:rsidRDefault="00E90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E90B5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90B5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19 </w:t>
      </w:r>
      <w:proofErr w:type="spellStart"/>
      <w:r w:rsidR="00E90B5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E90B59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E90B59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87778F" w:rsidRPr="00BA49E9" w:rsidRDefault="00BA49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87778F" w:rsidRPr="00BA49E9" w:rsidRDefault="00BA49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87778F" w:rsidRPr="00BA49E9" w:rsidRDefault="00BA49E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82AA8">
        <w:rPr>
          <w:rFonts w:hAnsi="Times New Roman" w:cs="Times New Roman"/>
          <w:color w:val="000000"/>
          <w:sz w:val="24"/>
          <w:szCs w:val="24"/>
          <w:lang w:val="ru-RU"/>
        </w:rPr>
        <w:t>посёлке городского типа.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проживает в домах типовой застройки</w:t>
      </w:r>
      <w:r w:rsidR="00082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778F" w:rsidRPr="00BA49E9" w:rsidRDefault="008777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8"/>
        <w:gridCol w:w="6949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7778F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7778F" w:rsidRDefault="00BA49E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7778F" w:rsidRDefault="00BA49E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7778F" w:rsidRDefault="00BA49E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7778F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778F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7778F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7778F" w:rsidRPr="00BA49E9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7778F" w:rsidRPr="00BA49E9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7778F" w:rsidRPr="00BA49E9" w:rsidRDefault="00BA49E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7778F" w:rsidRDefault="00BA49E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7778F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7778F" w:rsidRPr="00BA49E9" w:rsidRDefault="00BA49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778F" w:rsidRPr="00BA49E9" w:rsidRDefault="00BA49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7778F" w:rsidRPr="00BA49E9" w:rsidRDefault="00BA49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7778F" w:rsidRPr="00BA49E9" w:rsidRDefault="00BA49E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082AA8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AA8" w:rsidRPr="00082AA8" w:rsidRDefault="0008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Задачи: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работы с обучающихся по разъяснению прав, обязанностей и ответственности участников образовательной деятельности.</w:t>
            </w:r>
          </w:p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охране жизни и здоровья обучающихся, защите их законных прав и интересов, организации и проведении общешкольных, классных мероприятий.</w:t>
            </w:r>
          </w:p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интересов обучающихся в деятельности управления Школой.</w:t>
            </w:r>
          </w:p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и защита прав обучающихся.</w:t>
            </w:r>
          </w:p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предложений по повышению качества образовательной деятельности с учетом интересов обучающихся.</w:t>
            </w:r>
          </w:p>
          <w:p w:rsidR="00082AA8" w:rsidRPr="00082AA8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      </w:r>
          </w:p>
          <w:p w:rsidR="00082AA8" w:rsidRPr="00BA49E9" w:rsidRDefault="00082AA8" w:rsidP="00082A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9E3C8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87778F" w:rsidRPr="00BA49E9" w:rsidRDefault="00BA49E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87778F" w:rsidRPr="00BA49E9" w:rsidRDefault="00BA49E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87778F" w:rsidRDefault="00BA49E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9E3C84">
        <w:rPr>
          <w:rFonts w:hAnsi="Times New Roman" w:cs="Times New Roman"/>
          <w:color w:val="000000"/>
          <w:sz w:val="24"/>
          <w:szCs w:val="24"/>
        </w:rPr>
        <w:t>;</w:t>
      </w:r>
    </w:p>
    <w:p w:rsidR="009E3C84" w:rsidRPr="009E3C84" w:rsidRDefault="009E3C8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изо,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ехнологиии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физкультуры;</w:t>
      </w:r>
    </w:p>
    <w:p w:rsidR="009E3C84" w:rsidRPr="009E3C84" w:rsidRDefault="009E3C8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87778F" w:rsidRPr="009E3C84" w:rsidRDefault="008777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Default="00BA49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7778F" w:rsidRPr="00BA49E9" w:rsidRDefault="00BA49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7778F" w:rsidRDefault="00BA49E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9E3C84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9E3C84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9E3C84" w:rsidRDefault="004A47A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E3C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9E3C84"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87778F" w:rsidRPr="00BA49E9" w:rsidRDefault="00BA49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87778F" w:rsidRPr="00BA49E9" w:rsidRDefault="00BA49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87778F" w:rsidRPr="00BA49E9" w:rsidRDefault="00BA49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87778F" w:rsidRPr="00BA49E9" w:rsidRDefault="00BA49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87778F" w:rsidRDefault="00BA49E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r w:rsidR="009E3C8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9E3C8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9E3C8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9E3C8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9E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2023 года в соответствии с Федеральным законом от 24.09.2022 № 371-ФЗ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.08.2023 (протокол № 1) основные общеобразовательные программы – начального общего, основного общего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87778F" w:rsidRDefault="00BA49E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78F" w:rsidRPr="00BA49E9" w:rsidRDefault="00BA49E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школа реализует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, «Обществознание»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, все 100 % педагогов прошли обучение на платформе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87778F" w:rsidRPr="00BA49E9" w:rsidRDefault="00F0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778F" w:rsidRPr="00BA49E9" w:rsidRDefault="00BA49E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87778F" w:rsidRPr="00BA49E9" w:rsidRDefault="00BA49E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87778F" w:rsidRPr="00BA49E9" w:rsidRDefault="00BA49E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 по подключению к ФГИС «Моя школа» в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на 100 процентов. По состоянию на 31.12.2023 в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 к ФГИС «Моя школа»:</w:t>
      </w:r>
    </w:p>
    <w:p w:rsidR="0087778F" w:rsidRDefault="00BA49E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78F" w:rsidRDefault="00BA49E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– 100 процентов;</w:t>
      </w:r>
    </w:p>
    <w:p w:rsidR="0087778F" w:rsidRDefault="00BA49E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F06B44" w:rsidRDefault="00BA49E9" w:rsidP="00F0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сформирован 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пользовался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 универсальный </w:t>
      </w:r>
      <w:r w:rsidR="00F06B4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06B44" w:rsidRDefault="00F06B44" w:rsidP="00F0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2023-2024 учебном году профильное образование не реализуется из-за отсутст</w:t>
      </w:r>
      <w:r w:rsidR="00934FDB">
        <w:rPr>
          <w:rFonts w:hAnsi="Times New Roman" w:cs="Times New Roman"/>
          <w:color w:val="000000"/>
          <w:sz w:val="24"/>
          <w:szCs w:val="24"/>
          <w:lang w:val="ru-RU"/>
        </w:rPr>
        <w:t>вия обучающихся средней ступени обучения.</w:t>
      </w:r>
    </w:p>
    <w:p w:rsidR="00F06B44" w:rsidRDefault="00F06B44" w:rsidP="00F06B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F06B44" w:rsidRDefault="00BA49E9" w:rsidP="00F0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B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7778F" w:rsidRPr="00BA49E9" w:rsidRDefault="00934F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с ограниченными возможностями здоровья в 2023-2024 учебном году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в школе разработаны и утверждены  локальные акты, на основании которых педагоги готовы приступить к обучению детей с ОВЗ. ( Положение об организации обучения лиц с ограниченными возможностями здоровья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утв.пр.№248 от 01.09.2023г., Программа мероприятий по обеспечению доступности и качества образования обучающихся с ОВЗ и /или инвалидностью на 2023-2024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уч.год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утв.пр.№248 от 01.09.2023г.)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06.10.2023). В состав ячейки вошли 45 обучающихся 5-9-х классов. Ответственным за работу первичного школьного отделения РДДМ назначен советник директора по воспитанию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Стадник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РДДМ. Создан волонтерский отряд «Взгляд в будущее».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Школьная команда приняла участие в слете Волонтеров Георгиевского муниципального округа, который проходил в ноябре 2023 года.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МКОУ СОШ № 19 организуется в рамках реализации рабочей программы воспитания, в частности вариативного модуля «Военно-патриотический клуб «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Зарничник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». Деятельность носит системный характер и направлена на формирование: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гражданского правосознания;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патриотизма и духовно-нравственных ценностей;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экологической культуры как залога сохранения человечества и окружающего мира;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активной гражданской позиции через участие в школьном самоуправлении.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Обучающиеся, участники клуба, приняли участие во всероссийских акциях и просветительских проектах: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в военно-спортивной игре «Зарница»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в сборах «Патриот».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1 полугодии 2023/24 учебного года в МКОУ СОШ № 19 введен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МКОУ СОШ № 19 для участия обучающихся 6–11-х классов в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назначен ответственный по профориентации – заместитель директора по воспитательной работе Филиппова Е.А.;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определены ответственные специалисты по организации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6–9-х классов, социальный педагог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Аншакова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И.В.;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специалисты по организации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сформированы учебные группы для участия в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разработан план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организовывались посещения: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Георгиевский Политехнический техникум;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Георгиевский техникум механизации сельского хозяйства.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и проведение профессиональных проб на базе организаций-партнеров;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в Дне профессии, Дне открытых дверей.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6–9-х классов.</w:t>
      </w:r>
      <w:proofErr w:type="gram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с 01.09.2023 до 31.12.2023 реализованы мероприятия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согласно плану МКОУ СОШ № 19.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вариативные – «Детские общественные объединения», «Школьные медиа», «Ключевые общешкольные дела».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коллективные школьные дела;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акции;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дни здоровья, 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спортивные мероприятия.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планы воспитательной работы составлены с учетом возрастных особенностей обучающихся;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воспитанию, 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направлены на всестороннее развитие личности обучающегося и расширение его кругозора;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2032 году.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6–9-х классах по 1 часу в неделю.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стратегии развития образования. На занятиях педагоги раскрывают ценностно-смысловые линии, которые способствуют формированию российской гражданской идентичности у детей и подростков: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Главная ценность – это люди.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Счастье жить в России.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Кто, если не я.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Россияне – все вместе мы сила.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В слове «мы» – сто тысяч «я».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Будущее – это мы.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Служение вместо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потребительства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Семья – пространство любви, школа взаимного самопожертвования.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Каждый может стать героем.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Эти смысловые линии реализуются в урочной деятельности при изучении учебных предметов, а также в общешкольных и классных образовательных событиях в соответствии с календарным планом воспитательной работы.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Кроме того, тематика «Разговоров о важном» синхронизирована с темами активностей РДДМ «Движение первых» и «Орлята России».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и ФОП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6–9-х классах по 1 часу в неделю.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Вывод. Планы внеурочной деятельности НОО, ООО и СОО выполнены в полном объеме.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86 процентов.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2023/24 учебного года школа реализовывала 7 дополнительных общеразвивающих программ по шести направленностям: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художественное («Вокал», «Театральный»);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физкультурно-спортивное («ШСК», «Баскетбол»);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социально-гуманитарное («ЮИД», «Юная смена ГИБДД»).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 14 дополнительных общеразвивающих программ по шести направленностям: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художественное («Вокал», «Театральный», «Танцевальный»);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физкультурно-спортивное («ШСК», «Баскетбол», «Волейбол»);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социально-гуманитарное («ЮИД», «Юная смена ГИБДД»);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туристско-краеведческое («Юный патриот», «По дорогам родного края», «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Зарничка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естественно-научное («Юный эколог»);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Во первом полугодии 2022/23 учебного года по программам технической и естественно-научной направленности занимались 80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естественно-научной направленности, выросла на 5 процентов и составила 85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Вывод: программы дополнительного образования выполнены в полном объеме, повысился охват дополнительным образованием по сравнению с 2022 годом на 5 процентов.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«Гармония». В рамках клуба реализуются программы дополнительного образования: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волейбол – 3 группы;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баскетбол – 2 группы;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общая физическая подготовка – 2 группы;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подвижные игры – 3 группы;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60 обучающихся (70% обучающихся школы).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спортивный зал, использующийся для проведения спортивных соревнований с участием школьников;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коллекция фонограмм и аудиозаписей для проведения воспитательных мероприятий.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спортивные мероприятия в соответствии с планом. План реализован в полном объеме.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отчет о школьном театре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«Кукольный театр». Разработана программа дополнительного образования «Кукольный театр». Руководитель  –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Луковенко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И.С.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занимались 15 обучающихся 5–6-х классов. Это 10 процентов обучающихся школы. 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Луковенко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И.С. были  показаны кукольные представления. Одно из представлений было выставлено на районный конкурс.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№19 в течение 2023 года продолжала профилактику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закупила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разместила на сайте МКОУ СОШ №19 необходимую информацию об </w:t>
      </w:r>
      <w:proofErr w:type="spellStart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DFE" w:rsidRP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 в МКОУ СОШ №19 был утвержден план мероприятий по проведению в 2023 году мероприятий в честь Года педагога и наставника.</w:t>
      </w:r>
    </w:p>
    <w:p w:rsidR="007A6DFE" w:rsidRDefault="007A6DFE" w:rsidP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DFE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16 мероприятий, в которых приняли участие обучающиеся, педагоги и родители.</w:t>
      </w:r>
    </w:p>
    <w:p w:rsidR="001F000B" w:rsidRDefault="001F000B" w:rsidP="007A6D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87778F" w:rsidRPr="001F000B" w:rsidRDefault="001F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</w:t>
      </w:r>
      <w:proofErr w:type="spellStart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="00BA49E9"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A49E9" w:rsidRPr="001F000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="00BA49E9" w:rsidRPr="001F000B">
        <w:rPr>
          <w:rFonts w:hAnsi="Times New Roman" w:cs="Times New Roman"/>
          <w:color w:val="000000"/>
          <w:sz w:val="24"/>
          <w:szCs w:val="24"/>
          <w:lang w:val="ru-RU"/>
        </w:rPr>
        <w:t>ак, школа:</w:t>
      </w:r>
    </w:p>
    <w:p w:rsidR="0087778F" w:rsidRPr="00BA49E9" w:rsidRDefault="00BA49E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proofErr w:type="gramStart"/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ециркуляторы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87778F" w:rsidRPr="00BA49E9" w:rsidRDefault="00BA49E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7778F" w:rsidRPr="00BA49E9" w:rsidRDefault="00BA49E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87778F" w:rsidRPr="00BA49E9" w:rsidRDefault="00BA49E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1F00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х классов, по шестидневной учебной неделе — для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>одну смену.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58"/>
        <w:gridCol w:w="2827"/>
        <w:gridCol w:w="1967"/>
        <w:gridCol w:w="1944"/>
      </w:tblGrid>
      <w:tr w:rsidR="0087778F" w:rsidRPr="00956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87778F" w:rsidRDefault="00BA49E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87778F" w:rsidRDefault="00BA49E9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1F000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87778F" w:rsidRPr="00956F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3A6179" w:rsidRDefault="0087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3A617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1F000B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1F000B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1F000B" w:rsidRDefault="001F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1F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1F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F000B" w:rsidRDefault="001F00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00B" w:rsidRDefault="001F00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"/>
        <w:gridCol w:w="828"/>
        <w:gridCol w:w="960"/>
        <w:gridCol w:w="377"/>
        <w:gridCol w:w="899"/>
        <w:gridCol w:w="415"/>
        <w:gridCol w:w="899"/>
        <w:gridCol w:w="339"/>
        <w:gridCol w:w="960"/>
        <w:gridCol w:w="302"/>
        <w:gridCol w:w="960"/>
        <w:gridCol w:w="302"/>
        <w:gridCol w:w="960"/>
        <w:gridCol w:w="302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 w:rsidP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 w:rsidP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2022-м был</w:t>
      </w:r>
      <w:r w:rsidR="007F4394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7F439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439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–</w:t>
      </w:r>
      <w:r w:rsidR="007F439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6"/>
        <w:gridCol w:w="831"/>
        <w:gridCol w:w="965"/>
        <w:gridCol w:w="379"/>
        <w:gridCol w:w="903"/>
        <w:gridCol w:w="417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7F4394" w:rsidRDefault="007F43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7F43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</w:t>
      </w:r>
      <w:r w:rsidR="004A47AA">
        <w:rPr>
          <w:rFonts w:hAnsi="Times New Roman" w:cs="Times New Roman"/>
          <w:color w:val="000000"/>
          <w:sz w:val="24"/>
          <w:szCs w:val="24"/>
          <w:lang w:val="ru-RU"/>
        </w:rPr>
        <w:t xml:space="preserve">  20,1%).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6"/>
        <w:gridCol w:w="831"/>
        <w:gridCol w:w="965"/>
        <w:gridCol w:w="379"/>
        <w:gridCol w:w="903"/>
        <w:gridCol w:w="417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4A4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4A47AA" w:rsidRDefault="004A4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выросли </w:t>
      </w:r>
      <w:r w:rsidR="004A47AA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стабильны,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которые окончили полугодие на «4» и «5»</w:t>
      </w:r>
      <w:r w:rsidR="004A47AA">
        <w:rPr>
          <w:rFonts w:hAnsi="Times New Roman" w:cs="Times New Roman"/>
          <w:color w:val="000000"/>
          <w:sz w:val="24"/>
          <w:szCs w:val="24"/>
          <w:lang w:val="ru-RU"/>
        </w:rPr>
        <w:t xml:space="preserve"> не изменилось.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638B9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5638B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5638B9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5638B9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5638B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5638B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777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5638B9">
            <w:r>
              <w:rPr>
                <w:rFonts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5638B9">
            <w:r>
              <w:rPr>
                <w:rFonts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5638B9">
            <w:r>
              <w:rPr>
                <w:rFonts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5638B9" w:rsidRDefault="005638B9">
            <w:pPr>
              <w:rPr>
                <w:lang w:val="ru-RU"/>
              </w:rPr>
            </w:pPr>
            <w:r>
              <w:rPr>
                <w:lang w:val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C2122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lang w:val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C21223" w:rsidRDefault="00C2122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21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223" w:rsidRDefault="00C21223" w:rsidP="00C212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223" w:rsidRDefault="00C21223" w:rsidP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223" w:rsidRPr="00C21223" w:rsidRDefault="00C21223" w:rsidP="00C212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223" w:rsidRDefault="00C21223" w:rsidP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223" w:rsidRDefault="00C21223" w:rsidP="00C212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87778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87778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7778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C21223" w:rsidRDefault="00C21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78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87778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>(7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которые сдавали математику на 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Pr="00BA49E9" w:rsidRDefault="00BA49E9">
            <w:pPr>
              <w:rPr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7778F" w:rsidRPr="0024794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247949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949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9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24794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723"/>
      </w:tblGrid>
      <w:tr w:rsidR="0024794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24794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47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Pr="00BA49E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7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Pr="00BA49E9" w:rsidRDefault="00247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47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949" w:rsidRDefault="00247949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 xml:space="preserve">  5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r w:rsidR="00247949">
        <w:rPr>
          <w:rFonts w:hAnsi="Times New Roman" w:cs="Times New Roman"/>
          <w:color w:val="000000"/>
          <w:sz w:val="24"/>
          <w:szCs w:val="24"/>
          <w:lang w:val="ru-RU"/>
        </w:rPr>
        <w:t>3 обучающихся не справились с экзаменом.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. Снижение результатов по </w:t>
      </w:r>
      <w:proofErr w:type="spellStart"/>
      <w:r w:rsidR="00A15A01">
        <w:rPr>
          <w:rFonts w:hAnsi="Times New Roman" w:cs="Times New Roman"/>
          <w:color w:val="000000"/>
          <w:sz w:val="24"/>
          <w:szCs w:val="24"/>
          <w:lang w:val="ru-RU"/>
        </w:rPr>
        <w:t>матматике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связано с тем, что предмет сдавали обучающиеся с разной степенью подготовленности.</w:t>
      </w:r>
    </w:p>
    <w:p w:rsidR="00A15A01" w:rsidRDefault="00A15A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A01" w:rsidRDefault="00A15A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A01" w:rsidRPr="00BA49E9" w:rsidRDefault="00A15A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A15A01" w:rsidRDefault="00A15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A15A01">
            <w:r>
              <w:rPr>
                <w:rFonts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A15A01" w:rsidRDefault="00A15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A15A01" w:rsidRDefault="00A15A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A15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A15A01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предмет выбрали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 xml:space="preserve"> 85,7%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>(14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%), английский язык сдавали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>(14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5A01">
        <w:rPr>
          <w:rFonts w:hAnsi="Times New Roman" w:cs="Times New Roman"/>
          <w:color w:val="000000"/>
          <w:sz w:val="24"/>
          <w:szCs w:val="24"/>
          <w:lang w:val="ru-RU"/>
        </w:rPr>
        <w:t>4 (42%).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0"/>
        <w:gridCol w:w="2388"/>
        <w:gridCol w:w="1160"/>
        <w:gridCol w:w="1100"/>
        <w:gridCol w:w="1669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A15A01" w:rsidRDefault="00A15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A15A01" w:rsidRDefault="00A15A0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E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E63FA" w:rsidRDefault="000E63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87778F" w:rsidRPr="00BA49E9" w:rsidRDefault="00BA49E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87778F" w:rsidRPr="00BA49E9" w:rsidRDefault="00BA49E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1306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proofErr w:type="gramStart"/>
      <w:r w:rsidR="001306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7778F" w:rsidRPr="00BA49E9" w:rsidRDefault="00BA49E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0618">
        <w:rPr>
          <w:rFonts w:hAnsi="Times New Roman" w:cs="Times New Roman"/>
          <w:color w:val="000000"/>
          <w:sz w:val="24"/>
          <w:szCs w:val="24"/>
          <w:lang w:val="ru-RU"/>
        </w:rPr>
        <w:t xml:space="preserve">3,8,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профильной математике –</w:t>
      </w:r>
      <w:r w:rsidR="00130618">
        <w:rPr>
          <w:rFonts w:hAnsi="Times New Roman" w:cs="Times New Roman"/>
          <w:color w:val="000000"/>
          <w:sz w:val="24"/>
          <w:szCs w:val="24"/>
          <w:lang w:val="ru-RU"/>
        </w:rPr>
        <w:t xml:space="preserve"> 53,6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3061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6179" w:rsidRDefault="003A6179" w:rsidP="003A61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51" w:rsidRDefault="00EA5A51" w:rsidP="003A61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179" w:rsidRDefault="003A6179" w:rsidP="003A61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179" w:rsidRDefault="003A6179" w:rsidP="003A61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Результаты ВПР</w:t>
      </w:r>
    </w:p>
    <w:p w:rsidR="00EA5A51" w:rsidRDefault="00EA5A51" w:rsidP="003A61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5A51" w:rsidRPr="00EA5A51" w:rsidRDefault="00EA5A51" w:rsidP="00EA5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23.12.2022 № 1282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 В 11 классе проводились по предметам география, английский язык, химия, физика, биология, история.</w:t>
      </w: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5"/>
        <w:gridCol w:w="970"/>
        <w:gridCol w:w="969"/>
        <w:gridCol w:w="969"/>
        <w:gridCol w:w="969"/>
        <w:gridCol w:w="969"/>
        <w:gridCol w:w="917"/>
      </w:tblGrid>
      <w:tr w:rsidR="00EA5A51" w:rsidRPr="00EA5A51" w:rsidTr="00EA5A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класс, </w:t>
            </w:r>
          </w:p>
          <w:p w:rsidR="00EA5A51" w:rsidRPr="00EA5A51" w:rsidRDefault="00EA5A51" w:rsidP="00EA5A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</w:t>
            </w:r>
          </w:p>
        </w:tc>
      </w:tr>
      <w:tr w:rsidR="00EA5A51" w:rsidRPr="00EA5A51" w:rsidTr="00EA5A51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5A51" w:rsidRPr="00EA5A51" w:rsidTr="00EA5A51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5A51" w:rsidRPr="00EA5A51" w:rsidTr="00EA5A51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</w:tr>
      <w:tr w:rsidR="00EA5A51" w:rsidRPr="00EA5A51" w:rsidTr="00EA5A51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5A51" w:rsidRPr="00EA5A51" w:rsidTr="00EA5A51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5A51" w:rsidRPr="00EA5A51" w:rsidTr="00EA5A51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5A51" w:rsidRPr="00EA5A51" w:rsidTr="00EA5A51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13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5A51" w:rsidRPr="00EA5A51" w:rsidTr="00EA5A51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13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</w:tr>
      <w:tr w:rsidR="00EA5A51" w:rsidRPr="00EA5A51" w:rsidTr="00EA5A51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5A51" w:rsidRPr="00EA5A51" w:rsidTr="00EA5A51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EA5A51" w:rsidRPr="00EA5A51" w:rsidRDefault="00EA5A51" w:rsidP="00EA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 68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ученик из 68 (100%). Данный показатель позволил получить достоверную оценку образовательных результатов обучающихся  по школе.</w:t>
      </w: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A5A51" w:rsidRPr="00EA5A51" w:rsidRDefault="00EA5A51" w:rsidP="00EA5A51">
      <w:pPr>
        <w:rPr>
          <w:rFonts w:hAnsi="Times New Roman" w:cs="Times New Roman"/>
          <w:color w:val="000000"/>
          <w:sz w:val="24"/>
          <w:szCs w:val="24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</w:rPr>
        <w:t>.</w:t>
      </w:r>
    </w:p>
    <w:p w:rsidR="00EA5A51" w:rsidRPr="00EA5A51" w:rsidRDefault="00EA5A51" w:rsidP="00EA5A51">
      <w:pPr>
        <w:rPr>
          <w:rFonts w:hAnsi="Times New Roman" w:cs="Times New Roman"/>
          <w:color w:val="000000"/>
          <w:sz w:val="24"/>
          <w:szCs w:val="24"/>
        </w:rPr>
      </w:pPr>
    </w:p>
    <w:p w:rsidR="00EA5A51" w:rsidRPr="00EA5A51" w:rsidRDefault="00EA5A51" w:rsidP="00EA5A51">
      <w:pPr>
        <w:rPr>
          <w:rFonts w:hAnsi="Times New Roman" w:cs="Times New Roman"/>
          <w:color w:val="000000"/>
          <w:sz w:val="24"/>
          <w:szCs w:val="24"/>
        </w:rPr>
      </w:pP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90"/>
        <w:gridCol w:w="644"/>
        <w:gridCol w:w="589"/>
        <w:gridCol w:w="577"/>
        <w:gridCol w:w="559"/>
        <w:gridCol w:w="1160"/>
        <w:gridCol w:w="837"/>
        <w:gridCol w:w="510"/>
        <w:gridCol w:w="529"/>
        <w:gridCol w:w="565"/>
        <w:gridCol w:w="565"/>
        <w:gridCol w:w="1160"/>
        <w:gridCol w:w="837"/>
      </w:tblGrid>
      <w:tr w:rsidR="00EA5A51" w:rsidRPr="00EA5A51" w:rsidTr="00EA5A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EA5A51" w:rsidRPr="00EA5A51" w:rsidTr="00EA5A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100</w:t>
            </w: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6,6 %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93,3 %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0 % 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90"/>
        <w:gridCol w:w="510"/>
        <w:gridCol w:w="510"/>
        <w:gridCol w:w="510"/>
        <w:gridCol w:w="510"/>
        <w:gridCol w:w="1171"/>
        <w:gridCol w:w="927"/>
        <w:gridCol w:w="510"/>
        <w:gridCol w:w="510"/>
        <w:gridCol w:w="510"/>
        <w:gridCol w:w="510"/>
        <w:gridCol w:w="1160"/>
        <w:gridCol w:w="1053"/>
      </w:tblGrid>
      <w:tr w:rsidR="00EA5A51" w:rsidRPr="00EA5A51" w:rsidTr="00EA5A5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46,6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46,6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93,3</w:t>
            </w: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6,6%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93,3%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92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390"/>
        <w:gridCol w:w="510"/>
        <w:gridCol w:w="510"/>
        <w:gridCol w:w="510"/>
        <w:gridCol w:w="510"/>
        <w:gridCol w:w="1171"/>
        <w:gridCol w:w="837"/>
        <w:gridCol w:w="510"/>
        <w:gridCol w:w="510"/>
        <w:gridCol w:w="510"/>
        <w:gridCol w:w="510"/>
        <w:gridCol w:w="1160"/>
        <w:gridCol w:w="837"/>
      </w:tblGrid>
      <w:tr w:rsidR="00EA5A51" w:rsidRPr="00EA5A51" w:rsidTr="00EA5A51"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</w:t>
            </w:r>
          </w:p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EA5A51" w:rsidRPr="00EA5A51" w:rsidTr="00EA5A51"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46,6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46,6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93,3</w:t>
            </w: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6,6%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93,3%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</w:rPr>
        <w:t>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Соколова С.П.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27,2%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27,2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 9,09%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–90,9 %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–0 % 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62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A5A51" w:rsidRPr="00EA5A51" w:rsidTr="00EA5A5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Емельянова Е.С.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–9,09%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по журналу) –90,9%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(10);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–0% </w:t>
      </w:r>
      <w:proofErr w:type="gramStart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proofErr w:type="spellStart"/>
            <w:r w:rsidRPr="00EA5A51">
              <w:rPr>
                <w:lang w:val="ru-RU"/>
              </w:rPr>
              <w:t>Аншакова</w:t>
            </w:r>
            <w:proofErr w:type="spellEnd"/>
            <w:r w:rsidRPr="00EA5A51">
              <w:rPr>
                <w:lang w:val="ru-RU"/>
              </w:rPr>
              <w:t xml:space="preserve"> И.В.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27,2 %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(3);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57,5%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(8);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17"/>
        <w:gridCol w:w="410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EA5A51" w:rsidRPr="00EA5A51" w:rsidTr="00EA5A51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Филиппова Е.А.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36,3%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(4);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63,6%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(7);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lang w:val="ru-RU"/>
              </w:rPr>
              <w:t>Голубенко Е.П.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before="0" w:before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7,7%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–84,6 %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(11);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–7,7 %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(1).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15,3%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(2);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–86,6%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(11);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A5A5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proofErr w:type="spellStart"/>
            <w:r w:rsidRPr="00EA5A51">
              <w:rPr>
                <w:lang w:val="ru-RU"/>
              </w:rPr>
              <w:t>Аншакова</w:t>
            </w:r>
            <w:proofErr w:type="spellEnd"/>
            <w:r w:rsidRPr="00EA5A51">
              <w:rPr>
                <w:lang w:val="ru-RU"/>
              </w:rPr>
              <w:t xml:space="preserve"> И.В.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Pr="00EA5A5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Pr="00EA5A5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15,3%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(2);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–86,6%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(11);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EA5A51">
        <w:rPr>
          <w:rFonts w:hAnsi="Times New Roman" w:cs="Times New Roman"/>
          <w:b/>
          <w:sz w:val="24"/>
          <w:szCs w:val="24"/>
          <w:lang w:val="ru-RU"/>
        </w:rPr>
        <w:t>Биология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17"/>
        <w:gridCol w:w="410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EA5A51" w:rsidRPr="00EA5A51" w:rsidTr="00EA5A51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A5A5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Филиппова Е.А.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Pr="00EA5A5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sz w:val="24"/>
                <w:szCs w:val="24"/>
                <w:lang w:val="ru-RU"/>
              </w:rPr>
              <w:t>53,8</w:t>
            </w:r>
            <w:r w:rsidRPr="00EA5A5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7,7%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lastRenderedPageBreak/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–92,3%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(12);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EA5A51" w:rsidRPr="00EA5A51" w:rsidRDefault="00EA5A51" w:rsidP="00EA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A5A51" w:rsidRPr="00EA5A51" w:rsidRDefault="00EA5A51" w:rsidP="00EA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 w:rsidRPr="00EA5A51">
        <w:rPr>
          <w:rFonts w:hAnsi="Times New Roman" w:cs="Times New Roman"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язык», «Биология», «История». Форма проведения – традиционная.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EA5A51" w:rsidRPr="00EA5A51" w:rsidTr="00EA5A51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Голубенко Е.П.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11,1%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–88,8%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(8);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EA5A51" w:rsidRPr="00EA5A51" w:rsidTr="00EA5A5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Голик Л.А.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11,1%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77,7 %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(7);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11,1%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(1).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A5A51" w:rsidRPr="00EA5A51" w:rsidTr="00EA5A5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Лифарь Т.Ю.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11.1%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–88,8%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(8);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91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A5A51" w:rsidRPr="00EA5A51" w:rsidTr="00EA5A5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proofErr w:type="spellStart"/>
            <w:r w:rsidRPr="00EA5A51">
              <w:rPr>
                <w:lang w:val="ru-RU"/>
              </w:rPr>
              <w:t>Аншакова</w:t>
            </w:r>
            <w:proofErr w:type="spellEnd"/>
            <w:r w:rsidRPr="00EA5A51">
              <w:rPr>
                <w:lang w:val="ru-RU"/>
              </w:rPr>
              <w:t xml:space="preserve"> И.В.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11,1%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 - 88,8 %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(8);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tabs>
          <w:tab w:val="left" w:pos="6111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A5A51" w:rsidRPr="00EA5A51" w:rsidRDefault="00EA5A51" w:rsidP="00EA5A51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91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EA5A51" w:rsidRPr="00EA5A51" w:rsidTr="00EA5A5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Филиппова Е.А.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0 %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 - 100%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A5A51" w:rsidRPr="00EA5A51" w:rsidRDefault="00EA5A51" w:rsidP="00EA5A51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«Математика», «Химия» «География». Форма проведения – традиционная.</w:t>
      </w:r>
    </w:p>
    <w:p w:rsidR="00EA5A51" w:rsidRPr="00EA5A51" w:rsidRDefault="00EA5A51" w:rsidP="00EA5A51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EA5A51" w:rsidRPr="00EA5A51" w:rsidTr="00EA5A51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Голубенко Е.П.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38,4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7,7%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–84,6%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>обучающихся (11);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7,7%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(1).</w:t>
      </w:r>
    </w:p>
    <w:p w:rsidR="00EA5A51" w:rsidRPr="00EA5A51" w:rsidRDefault="00EA5A51" w:rsidP="00EA5A51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EA5A51" w:rsidRPr="00EA5A51" w:rsidTr="00EA5A51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lastRenderedPageBreak/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Голик Л.А.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spacing w:after="0" w:afterAutospacing="0"/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15,3%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(2);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 - 84,6%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(11);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A5A51"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17"/>
        <w:gridCol w:w="410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EA5A51" w:rsidRPr="00EA5A51" w:rsidTr="00EA5A51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Филиппова Е.А.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0%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 - 100%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EA5A51"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1189"/>
        <w:gridCol w:w="434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  <w:gridCol w:w="1044"/>
      </w:tblGrid>
      <w:tr w:rsidR="00EA5A51" w:rsidRPr="00EA5A51" w:rsidTr="00EA5A5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jc w:val="center"/>
            </w:pP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EA5A51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EA5A51">
              <w:br/>
            </w:r>
            <w:proofErr w:type="spellStart"/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5A51" w:rsidRPr="00EA5A51" w:rsidRDefault="00EA5A51" w:rsidP="00EA5A5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EA5A51" w:rsidRPr="00EA5A51" w:rsidRDefault="00EA5A51" w:rsidP="00EA5A5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EA5A51" w:rsidRPr="00EA5A51" w:rsidRDefault="00EA5A51" w:rsidP="00EA5A5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EA5A51" w:rsidRPr="00EA5A51" w:rsidTr="00EA5A5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5A51" w:rsidRPr="00EA5A51" w:rsidRDefault="00EA5A51" w:rsidP="00EA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A51" w:rsidRPr="00EA5A51" w:rsidTr="00EA5A5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proofErr w:type="spellStart"/>
            <w:r w:rsidRPr="00EA5A51">
              <w:rPr>
                <w:lang w:val="ru-RU"/>
              </w:rPr>
              <w:t>Атоян</w:t>
            </w:r>
            <w:proofErr w:type="spellEnd"/>
            <w:r w:rsidRPr="00EA5A51">
              <w:rPr>
                <w:lang w:val="ru-RU"/>
              </w:rPr>
              <w:t xml:space="preserve"> О.М.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  <w:r w:rsidRPr="00EA5A51"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A51" w:rsidRPr="00EA5A51" w:rsidRDefault="00EA5A51" w:rsidP="00EA5A51"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</w:t>
            </w:r>
            <w:r w:rsidRPr="00EA5A5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5A51" w:rsidRPr="00EA5A51" w:rsidRDefault="00EA5A51" w:rsidP="00EA5A51">
            <w:pPr>
              <w:rPr>
                <w:lang w:val="ru-RU"/>
              </w:rPr>
            </w:pPr>
          </w:p>
        </w:tc>
      </w:tr>
    </w:tbl>
    <w:p w:rsidR="00EA5A51" w:rsidRPr="00EA5A51" w:rsidRDefault="00EA5A51" w:rsidP="00EA5A5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– 7,7%</w:t>
      </w:r>
      <w:r w:rsidRPr="00EA5A51">
        <w:rPr>
          <w:rFonts w:hAnsi="Times New Roman" w:cs="Times New Roman"/>
          <w:sz w:val="24"/>
          <w:szCs w:val="24"/>
        </w:rPr>
        <w:t> </w:t>
      </w:r>
      <w:r w:rsidRPr="00EA5A51">
        <w:rPr>
          <w:rFonts w:hAnsi="Times New Roman" w:cs="Times New Roman"/>
          <w:sz w:val="24"/>
          <w:szCs w:val="24"/>
          <w:lang w:val="ru-RU"/>
        </w:rPr>
        <w:t xml:space="preserve">обучающихся (1); 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по журналу)  - 92,3%</w:t>
      </w:r>
      <w:r w:rsidRPr="00EA5A51">
        <w:rPr>
          <w:rFonts w:hAnsi="Times New Roman" w:cs="Times New Roman"/>
          <w:sz w:val="24"/>
          <w:szCs w:val="24"/>
        </w:rPr>
        <w:t> 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 xml:space="preserve"> (12);</w:t>
      </w:r>
    </w:p>
    <w:p w:rsidR="00EA5A51" w:rsidRPr="00EA5A51" w:rsidRDefault="00EA5A51" w:rsidP="00EA5A5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A5A51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EA5A51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EA5A51">
        <w:rPr>
          <w:rFonts w:hAnsi="Times New Roman" w:cs="Times New Roman"/>
          <w:sz w:val="24"/>
          <w:szCs w:val="24"/>
          <w:lang w:val="ru-RU"/>
        </w:rPr>
        <w:t xml:space="preserve">. по журналу) –  0% </w:t>
      </w:r>
      <w:proofErr w:type="gramStart"/>
      <w:r w:rsidRPr="00EA5A51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5A51">
        <w:rPr>
          <w:rFonts w:hAnsi="Times New Roman" w:cs="Times New Roman"/>
          <w:sz w:val="24"/>
          <w:szCs w:val="24"/>
          <w:lang w:val="ru-RU"/>
        </w:rPr>
        <w:t>.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Понизили результаты ВПР в сравнении с 3 четвертью</w:t>
      </w:r>
    </w:p>
    <w:tbl>
      <w:tblPr>
        <w:tblStyle w:val="11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Е.А.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27,3%</w:t>
            </w:r>
          </w:p>
        </w:tc>
      </w:tr>
    </w:tbl>
    <w:p w:rsidR="00EA5A51" w:rsidRDefault="00EA5A51" w:rsidP="00EA5A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A51" w:rsidRPr="00EA5A51" w:rsidRDefault="00EA5A51" w:rsidP="00EA5A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  соответствуют результатам 3 четверти</w:t>
      </w:r>
    </w:p>
    <w:tbl>
      <w:tblPr>
        <w:tblStyle w:val="11"/>
        <w:tblW w:w="0" w:type="auto"/>
        <w:tblLook w:val="04A0"/>
      </w:tblPr>
      <w:tblGrid>
        <w:gridCol w:w="2314"/>
        <w:gridCol w:w="2412"/>
        <w:gridCol w:w="2403"/>
      </w:tblGrid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Кошелева Н.А.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Кошелева Н.А.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Кошелева Н.А.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С.П.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Емельянова Е.С.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Аншакова</w:t>
            </w:r>
            <w:proofErr w:type="spellEnd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Е.А.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Аншакова</w:t>
            </w:r>
            <w:proofErr w:type="spellEnd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Голубенко Е.П.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Лифарь Т.Ю.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Аншакова</w:t>
            </w:r>
            <w:proofErr w:type="spellEnd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Е.А.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Е.А.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</w:tr>
    </w:tbl>
    <w:p w:rsidR="00EA5A51" w:rsidRPr="00EA5A51" w:rsidRDefault="00EA5A51" w:rsidP="00EA5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Повысили  результаты ВПР в сравнении с 3 четвертью</w:t>
      </w:r>
    </w:p>
    <w:tbl>
      <w:tblPr>
        <w:tblStyle w:val="11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Голубенко Е.П.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7,7%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11,1%</w:t>
            </w:r>
          </w:p>
        </w:tc>
      </w:tr>
      <w:tr w:rsidR="00EA5A51" w:rsidRPr="00EA5A51" w:rsidTr="00EA5A51">
        <w:tc>
          <w:tcPr>
            <w:tcW w:w="23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Голубенко Е.П.</w:t>
            </w:r>
          </w:p>
        </w:tc>
        <w:tc>
          <w:tcPr>
            <w:tcW w:w="2114" w:type="dxa"/>
          </w:tcPr>
          <w:p w:rsidR="00EA5A51" w:rsidRPr="00EA5A51" w:rsidRDefault="00EA5A51" w:rsidP="00EA5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7,7%</w:t>
            </w:r>
          </w:p>
        </w:tc>
      </w:tr>
    </w:tbl>
    <w:p w:rsidR="00EA5A51" w:rsidRDefault="00EA5A51" w:rsidP="00EA5A51">
      <w:pPr>
        <w:tabs>
          <w:tab w:val="left" w:pos="1504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3A6179" w:rsidRPr="003A6179" w:rsidRDefault="003A6179" w:rsidP="003A6179">
      <w:pPr>
        <w:ind w:firstLine="72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таблиц свидетельствуют о понижении уровня образовательной подготовки при проведении ВПР  по </w:t>
      </w:r>
      <w:r w:rsidRPr="003A6179">
        <w:rPr>
          <w:rFonts w:hAnsi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с результатами </w:t>
      </w:r>
      <w:proofErr w:type="spellStart"/>
      <w:r w:rsidRPr="003A6179">
        <w:rPr>
          <w:rFonts w:hAnsi="Times New Roman"/>
          <w:color w:val="000000"/>
          <w:sz w:val="24"/>
          <w:szCs w:val="24"/>
          <w:lang w:val="ru-RU"/>
        </w:rPr>
        <w:t>года</w:t>
      </w:r>
      <w:proofErr w:type="gramStart"/>
      <w:r w:rsidRPr="003A6179">
        <w:rPr>
          <w:rFonts w:hAnsi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ричины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этого: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Недостаточное использование методических рекомендаций, анализа ВПР за прошлые годы. Низкий уровень контроля за самостоятельной подготовкой к ВПР.</w:t>
      </w:r>
    </w:p>
    <w:p w:rsidR="003A6179" w:rsidRPr="00BA49E9" w:rsidRDefault="003A6179" w:rsidP="003A6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3A6179" w:rsidRPr="00BA49E9" w:rsidRDefault="003A6179" w:rsidP="003A617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3A6179" w:rsidRPr="00BA49E9" w:rsidRDefault="003A6179" w:rsidP="003A617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Pr="003A6179">
        <w:rPr>
          <w:rFonts w:hAnsi="Times New Roman"/>
          <w:color w:val="000000"/>
          <w:sz w:val="24"/>
          <w:szCs w:val="24"/>
          <w:lang w:val="ru-RU"/>
        </w:rPr>
        <w:t>.</w:t>
      </w:r>
    </w:p>
    <w:p w:rsidR="003A6179" w:rsidRPr="00A23877" w:rsidRDefault="003A6179" w:rsidP="003A6179">
      <w:pPr>
        <w:ind w:firstLine="720"/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3A6179" w:rsidRPr="00A23877" w:rsidRDefault="003A6179" w:rsidP="003A6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bCs/>
          <w:color w:val="000000"/>
          <w:sz w:val="24"/>
          <w:szCs w:val="24"/>
          <w:lang w:val="ru-RU"/>
        </w:rPr>
        <w:t>Рекомендации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1. Рассмотреть вопрос  об объективности полученных результатов независимой оценки, их использования в целях повышения качества образования.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Провести содержательный анализ результатов ВПР по всем классам и составить подробный отчет по классам</w:t>
      </w:r>
      <w:proofErr w:type="gramStart"/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9">
        <w:rPr>
          <w:rFonts w:hAnsi="Times New Roman"/>
          <w:color w:val="000000"/>
          <w:sz w:val="24"/>
          <w:szCs w:val="24"/>
          <w:lang w:val="ru-RU"/>
        </w:rPr>
        <w:t>.</w:t>
      </w:r>
      <w:proofErr w:type="gramEnd"/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3A6179" w:rsidRPr="00A23877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предметов.</w:t>
      </w:r>
    </w:p>
    <w:p w:rsidR="003A6179" w:rsidRPr="00EA5A51" w:rsidRDefault="003A6179" w:rsidP="00EA5A51">
      <w:pPr>
        <w:rPr>
          <w:rFonts w:hAnsi="Times New Roman"/>
          <w:color w:val="000000"/>
          <w:sz w:val="24"/>
          <w:szCs w:val="24"/>
          <w:lang w:val="ru-RU"/>
        </w:rPr>
      </w:pP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A23877">
        <w:rPr>
          <w:rFonts w:hAnsi="Times New Roman" w:cs="Times New Roman"/>
          <w:color w:val="000000"/>
          <w:sz w:val="24"/>
          <w:szCs w:val="24"/>
        </w:rPr>
        <w:t> </w:t>
      </w:r>
      <w:r w:rsidRPr="00A23877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3A6179" w:rsidRPr="00B74C86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3A6179" w:rsidRPr="00B74C86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A6179" w:rsidRPr="00B74C86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3A6179" w:rsidRPr="00B74C86" w:rsidRDefault="003A6179" w:rsidP="003A617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3A6179" w:rsidRPr="003A6179" w:rsidRDefault="003A6179" w:rsidP="003A617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A6179" w:rsidRPr="00A23877" w:rsidRDefault="003A6179" w:rsidP="003A617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3877">
        <w:rPr>
          <w:rFonts w:ascii="Times New Roman" w:hAnsi="Times New Roman"/>
          <w:b/>
          <w:sz w:val="28"/>
          <w:szCs w:val="28"/>
          <w:lang w:val="ru-RU"/>
        </w:rPr>
        <w:t>Планируемые мероприятия по  повышению результативности работы школы</w:t>
      </w:r>
    </w:p>
    <w:p w:rsidR="003A6179" w:rsidRPr="00A23877" w:rsidRDefault="003A6179" w:rsidP="003A617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3877">
        <w:rPr>
          <w:rFonts w:ascii="Times New Roman" w:hAnsi="Times New Roman"/>
          <w:b/>
          <w:sz w:val="28"/>
          <w:szCs w:val="28"/>
          <w:lang w:val="ru-RU"/>
        </w:rPr>
        <w:t>в 2023-2024 уч. году:</w:t>
      </w:r>
    </w:p>
    <w:p w:rsidR="003A6179" w:rsidRPr="00A23877" w:rsidRDefault="003A6179" w:rsidP="003A6179">
      <w:pPr>
        <w:spacing w:after="200" w:line="276" w:lineRule="auto"/>
        <w:jc w:val="both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lang w:val="ru-RU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3A6179" w:rsidRPr="00A23877" w:rsidRDefault="003A6179" w:rsidP="003A6179">
      <w:pPr>
        <w:spacing w:after="200" w:line="276" w:lineRule="auto"/>
        <w:jc w:val="both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u w:val="single"/>
          <w:lang w:val="ru-RU"/>
        </w:rPr>
        <w:lastRenderedPageBreak/>
        <w:t>Администрации:</w:t>
      </w:r>
      <w:r w:rsidRPr="00A23877">
        <w:rPr>
          <w:rFonts w:ascii="Times New Roman" w:hAnsi="Times New Roman"/>
          <w:lang w:val="ru-RU"/>
        </w:rPr>
        <w:t xml:space="preserve">  Провести методическую учебу для усиления практической направленности уроков. Организовать </w:t>
      </w:r>
      <w:proofErr w:type="spellStart"/>
      <w:r w:rsidRPr="00A23877">
        <w:rPr>
          <w:rFonts w:ascii="Times New Roman" w:hAnsi="Times New Roman"/>
          <w:lang w:val="ru-RU"/>
        </w:rPr>
        <w:t>внутришкольный</w:t>
      </w:r>
      <w:proofErr w:type="spellEnd"/>
      <w:r w:rsidRPr="00A23877">
        <w:rPr>
          <w:rFonts w:ascii="Times New Roman" w:hAnsi="Times New Roman"/>
          <w:lang w:val="ru-RU"/>
        </w:rPr>
        <w:t xml:space="preserve"> мониторинг учебных достижений обучающихся.</w:t>
      </w:r>
    </w:p>
    <w:p w:rsidR="003A6179" w:rsidRPr="00A23877" w:rsidRDefault="003A6179" w:rsidP="003A6179">
      <w:pPr>
        <w:spacing w:after="200" w:line="276" w:lineRule="auto"/>
        <w:jc w:val="both"/>
        <w:rPr>
          <w:rFonts w:ascii="Times New Roman" w:hAnsi="Times New Roman"/>
          <w:u w:val="single"/>
          <w:lang w:val="ru-RU"/>
        </w:rPr>
      </w:pPr>
      <w:r w:rsidRPr="00A23877">
        <w:rPr>
          <w:rFonts w:ascii="Times New Roman" w:hAnsi="Times New Roman"/>
          <w:u w:val="single"/>
          <w:lang w:val="ru-RU"/>
        </w:rPr>
        <w:t xml:space="preserve"> Учителям -предметникам</w:t>
      </w:r>
      <w:r w:rsidRPr="00A23877">
        <w:rPr>
          <w:rFonts w:ascii="Times New Roman" w:hAnsi="Times New Roman"/>
          <w:lang w:val="ru-RU"/>
        </w:rPr>
        <w:t xml:space="preserve"> на основе результатов ВПР: </w:t>
      </w:r>
    </w:p>
    <w:p w:rsidR="003A6179" w:rsidRPr="00A23877" w:rsidRDefault="003A6179" w:rsidP="003A6179">
      <w:pPr>
        <w:spacing w:after="200" w:line="276" w:lineRule="auto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lang w:val="ru-RU"/>
        </w:rPr>
        <w:t xml:space="preserve">1). Руководствоваться в работе  требованиями ФГОС ООО к личностным, </w:t>
      </w:r>
      <w:proofErr w:type="spellStart"/>
      <w:r w:rsidRPr="00A23877">
        <w:rPr>
          <w:rFonts w:ascii="Times New Roman" w:hAnsi="Times New Roman"/>
          <w:lang w:val="ru-RU"/>
        </w:rPr>
        <w:t>метапредметным</w:t>
      </w:r>
      <w:proofErr w:type="spellEnd"/>
      <w:r w:rsidRPr="00A23877">
        <w:rPr>
          <w:rFonts w:ascii="Times New Roman" w:hAnsi="Times New Roman"/>
          <w:lang w:val="ru-RU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3A6179" w:rsidRPr="00A23877" w:rsidRDefault="003A6179" w:rsidP="003A6179">
      <w:pPr>
        <w:spacing w:after="200" w:line="276" w:lineRule="auto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lang w:val="ru-RU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3A6179" w:rsidRPr="00A23877" w:rsidRDefault="003A6179" w:rsidP="003A6179">
      <w:pPr>
        <w:spacing w:after="200" w:line="276" w:lineRule="auto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lang w:val="ru-RU"/>
        </w:rPr>
        <w:t xml:space="preserve">3). 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3A6179" w:rsidRPr="00A23877" w:rsidRDefault="003A6179" w:rsidP="00EA5A51">
      <w:pPr>
        <w:spacing w:after="200" w:line="276" w:lineRule="auto"/>
        <w:rPr>
          <w:rFonts w:ascii="Times New Roman" w:hAnsi="Times New Roman"/>
          <w:lang w:val="ru-RU"/>
        </w:rPr>
      </w:pPr>
      <w:r w:rsidRPr="00A23877">
        <w:rPr>
          <w:rFonts w:ascii="Times New Roman" w:hAnsi="Times New Roman"/>
          <w:lang w:val="ru-RU"/>
        </w:rPr>
        <w:t xml:space="preserve">4). С обучающимися, показавшими низкий уровень выполнения диагностической работы, организовать индивидуальные  занятия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 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F16A8" w:rsidRPr="00BF16A8" w:rsidRDefault="00BF16A8" w:rsidP="00BF16A8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color w:val="FF0000"/>
          <w:spacing w:val="1"/>
          <w:sz w:val="28"/>
          <w:szCs w:val="25"/>
          <w:lang w:val="ru-RU"/>
        </w:rPr>
      </w:pPr>
      <w:r w:rsidRPr="00BF16A8">
        <w:rPr>
          <w:rFonts w:ascii="Times New Roman" w:hAnsi="Times New Roman"/>
          <w:spacing w:val="1"/>
          <w:sz w:val="28"/>
          <w:szCs w:val="25"/>
          <w:lang w:val="ru-RU"/>
        </w:rPr>
        <w:t xml:space="preserve">В соответствии </w:t>
      </w:r>
      <w:r w:rsidRPr="00BF16A8">
        <w:rPr>
          <w:rFonts w:ascii="Times New Roman" w:hAnsi="Times New Roman"/>
          <w:spacing w:val="1"/>
          <w:sz w:val="28"/>
          <w:szCs w:val="28"/>
          <w:lang w:val="ru-RU"/>
        </w:rPr>
        <w:t xml:space="preserve">с </w:t>
      </w:r>
      <w:r w:rsidRPr="00BF16A8">
        <w:rPr>
          <w:rFonts w:ascii="Times New Roman" w:hAnsi="Times New Roman"/>
          <w:spacing w:val="1"/>
          <w:sz w:val="28"/>
          <w:szCs w:val="25"/>
          <w:lang w:val="ru-RU"/>
        </w:rPr>
        <w:t xml:space="preserve">Порядком проведения Всероссийской олимпиады школьников, утвержденным приказом министерства просвещения от 27.11.2021 г. №678 в период с 19 сентября по 25 октября 2023 года в МКОУ СОШ №19 пос. </w:t>
      </w:r>
      <w:proofErr w:type="spellStart"/>
      <w:r w:rsidRPr="00BF16A8">
        <w:rPr>
          <w:rFonts w:ascii="Times New Roman" w:hAnsi="Times New Roman"/>
          <w:spacing w:val="1"/>
          <w:sz w:val="28"/>
          <w:szCs w:val="25"/>
          <w:lang w:val="ru-RU"/>
        </w:rPr>
        <w:t>Нижнезольского</w:t>
      </w:r>
      <w:proofErr w:type="spellEnd"/>
      <w:r w:rsidRPr="00BF16A8">
        <w:rPr>
          <w:rFonts w:ascii="Times New Roman" w:hAnsi="Times New Roman"/>
          <w:spacing w:val="1"/>
          <w:sz w:val="28"/>
          <w:szCs w:val="25"/>
          <w:lang w:val="ru-RU"/>
        </w:rPr>
        <w:t xml:space="preserve"> был проведен школьный этап всероссийской олимпиады школьников. В олимпиаде приняли участие по протоколам 276 человек, по количеству участников – 54 человек, из 62 обучающихся 4-11 классов</w:t>
      </w:r>
    </w:p>
    <w:tbl>
      <w:tblPr>
        <w:tblStyle w:val="a3"/>
        <w:tblW w:w="0" w:type="auto"/>
        <w:tblInd w:w="20" w:type="dxa"/>
        <w:tblLook w:val="04A0"/>
      </w:tblPr>
      <w:tblGrid>
        <w:gridCol w:w="1584"/>
        <w:gridCol w:w="964"/>
        <w:gridCol w:w="964"/>
        <w:gridCol w:w="965"/>
        <w:gridCol w:w="965"/>
        <w:gridCol w:w="966"/>
        <w:gridCol w:w="970"/>
        <w:gridCol w:w="961"/>
      </w:tblGrid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Итого 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Рус.яз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Астроном.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Англ.яз.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Географ.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Физ-ра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Биолог.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F16A8" w:rsidTr="007A6DFE">
        <w:trPr>
          <w:trHeight w:val="1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lastRenderedPageBreak/>
              <w:t>История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Литерат</w:t>
            </w:r>
            <w:proofErr w:type="spellEnd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96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Технолог.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Обществ.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Право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Информат</w:t>
            </w:r>
            <w:proofErr w:type="spellEnd"/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Pr="0096196E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F16A8" w:rsidTr="007A6DF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8" w:rsidRDefault="00BF16A8" w:rsidP="007A6DFE">
            <w:pPr>
              <w:widowControl w:val="0"/>
              <w:spacing w:line="322" w:lineRule="exact"/>
              <w:ind w:right="2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6A8" w:rsidRDefault="00BF16A8" w:rsidP="007A6DF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</w:tr>
    </w:tbl>
    <w:p w:rsidR="00BF16A8" w:rsidRPr="00BF16A8" w:rsidRDefault="00BF16A8" w:rsidP="00BF16A8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BF16A8">
        <w:rPr>
          <w:rFonts w:ascii="Times New Roman" w:hAnsi="Times New Roman"/>
          <w:spacing w:val="1"/>
          <w:sz w:val="28"/>
          <w:szCs w:val="28"/>
          <w:lang w:val="ru-RU"/>
        </w:rPr>
        <w:t>Решением предметных жюри определено 9 победителей и 15 призеров, что составляет 11,6 % от общего числа участников</w:t>
      </w:r>
    </w:p>
    <w:p w:rsidR="00BF16A8" w:rsidRPr="00BF16A8" w:rsidRDefault="00BF16A8" w:rsidP="00BF16A8">
      <w:pPr>
        <w:rPr>
          <w:lang w:val="ru-RU"/>
        </w:rPr>
      </w:pPr>
      <w:r w:rsidRPr="00BF16A8">
        <w:rPr>
          <w:lang w:val="ru-RU"/>
        </w:rPr>
        <w:t>Все эти данные:</w:t>
      </w:r>
    </w:p>
    <w:p w:rsidR="00BF16A8" w:rsidRPr="00BF16A8" w:rsidRDefault="00BF16A8" w:rsidP="00BF16A8">
      <w:pPr>
        <w:rPr>
          <w:lang w:val="ru-RU"/>
        </w:rPr>
      </w:pPr>
      <w:r w:rsidRPr="00BF16A8">
        <w:rPr>
          <w:b/>
          <w:bCs/>
          <w:lang w:val="ru-RU"/>
        </w:rPr>
        <w:t>- </w:t>
      </w:r>
      <w:r w:rsidRPr="00BF16A8">
        <w:rPr>
          <w:lang w:val="ru-RU"/>
        </w:rPr>
        <w:t xml:space="preserve">свидетельствуют, что учителями-предметниками </w:t>
      </w:r>
      <w:r>
        <w:rPr>
          <w:lang w:val="ru-RU"/>
        </w:rPr>
        <w:t>не в системе</w:t>
      </w:r>
      <w:r w:rsidRPr="00BF16A8">
        <w:rPr>
          <w:lang w:val="ru-RU"/>
        </w:rPr>
        <w:t xml:space="preserve"> проводится работа по развитию интеллектуальных способностей учащихся и их подготовке к участию в олимпиаде;</w:t>
      </w:r>
    </w:p>
    <w:p w:rsidR="00BF16A8" w:rsidRPr="00BF16A8" w:rsidRDefault="00BF16A8" w:rsidP="00BF16A8">
      <w:pPr>
        <w:rPr>
          <w:lang w:val="ru-RU"/>
        </w:rPr>
      </w:pPr>
      <w:r w:rsidRPr="00BF16A8">
        <w:rPr>
          <w:lang w:val="ru-RU"/>
        </w:rPr>
        <w:t>- показывают, что деятельность учреждения направлена на поддержку и развитие одаренных детей, создание условий для их творческого самосовершенствования.</w:t>
      </w:r>
    </w:p>
    <w:p w:rsidR="00BF16A8" w:rsidRPr="00BF16A8" w:rsidRDefault="00BF16A8" w:rsidP="00BF16A8">
      <w:pPr>
        <w:rPr>
          <w:lang w:val="ru-RU"/>
        </w:rPr>
      </w:pPr>
      <w:r w:rsidRPr="00BF16A8">
        <w:rPr>
          <w:lang w:val="ru-RU"/>
        </w:rPr>
        <w:t>РЕКОМЕНДАЦИИ: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>Разработать план работы с детьми, имеющими достаточный результат для подготовки их к участию в олимпиадах в следующем году.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>Выработать предложения по активизации работы с одаренными детьми и включить их в план работы предметных методических объединений на учебный год.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>Создать банк данных по материалам предметных олимпиад.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>Организовать педагогическое сопровождение учащихся, проявляющих интерес к изучению различных предметов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 xml:space="preserve">Создать </w:t>
      </w:r>
      <w:proofErr w:type="spellStart"/>
      <w:r w:rsidRPr="00BF16A8">
        <w:rPr>
          <w:lang w:val="ru-RU"/>
        </w:rPr>
        <w:t>межклассные</w:t>
      </w:r>
      <w:proofErr w:type="spellEnd"/>
      <w:r w:rsidRPr="00BF16A8">
        <w:rPr>
          <w:lang w:val="ru-RU"/>
        </w:rPr>
        <w:t xml:space="preserve"> группы и индивидуальные занятия с талантливыми учениками.</w:t>
      </w:r>
    </w:p>
    <w:p w:rsidR="00BF16A8" w:rsidRPr="00BF16A8" w:rsidRDefault="00BF16A8" w:rsidP="00BF16A8">
      <w:pPr>
        <w:numPr>
          <w:ilvl w:val="0"/>
          <w:numId w:val="50"/>
        </w:numPr>
        <w:rPr>
          <w:lang w:val="ru-RU"/>
        </w:rPr>
      </w:pPr>
      <w:r w:rsidRPr="00BF16A8">
        <w:rPr>
          <w:lang w:val="ru-RU"/>
        </w:rPr>
        <w:t>Продолжить работу по развитию навыков исследовательской работы, привлекать обучающихся к использованию дополнительной литературы.</w:t>
      </w:r>
    </w:p>
    <w:p w:rsidR="0087778F" w:rsidRPr="00EA5A51" w:rsidRDefault="0087778F">
      <w:pPr>
        <w:rPr>
          <w:lang w:val="ru-RU"/>
        </w:rPr>
      </w:pP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8777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7778F" w:rsidRPr="00956F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</w:t>
            </w: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Перешли в 10-й </w:t>
            </w: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</w:t>
            </w: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ную службу по призыву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F16A8" w:rsidRDefault="00BF16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7778F" w:rsidRDefault="0087778F">
      <w:pPr>
        <w:rPr>
          <w:rFonts w:hAnsi="Times New Roman" w:cs="Times New Roman"/>
          <w:color w:val="000000"/>
          <w:sz w:val="24"/>
          <w:szCs w:val="24"/>
        </w:rPr>
      </w:pP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2023 году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 100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4-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школыРезультаты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F16A8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отсутствует 10 класс, это связано с </w:t>
      </w:r>
      <w:proofErr w:type="spell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proofErr w:type="gram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proofErr w:type="spell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 поступили в учреждения СПО региона.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вузы, увеличилось: с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2023 году.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«№ 19 </w:t>
      </w:r>
      <w:proofErr w:type="spell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87778F" w:rsidRPr="00BA49E9" w:rsidRDefault="00BA49E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7778F" w:rsidRPr="00BA49E9" w:rsidRDefault="00BA49E9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направлениями и целями оценочной деятельности в 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87778F" w:rsidRPr="00BA49E9" w:rsidRDefault="00BA49E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7778F" w:rsidRPr="00BA49E9" w:rsidRDefault="00BA49E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87778F" w:rsidRPr="00BA49E9" w:rsidRDefault="00BA49E9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87778F" w:rsidRDefault="00BA49E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78F" w:rsidRDefault="00BA49E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87778F" w:rsidRDefault="00BA49E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87778F" w:rsidRPr="00BA49E9" w:rsidRDefault="00BA49E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7778F" w:rsidRPr="00BA49E9" w:rsidRDefault="00BA49E9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уровня тревожности обучающихся 1-х </w:t>
      </w:r>
      <w:r w:rsidR="00BF16A8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5-х  классов в период адаптации;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87778F" w:rsidRPr="00BA49E9" w:rsidRDefault="00BA49E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7778F" w:rsidRPr="00BA49E9" w:rsidRDefault="00BA49E9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(42% от общего числа родителей 1–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778F" w:rsidRPr="00BA49E9" w:rsidRDefault="00BA49E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87778F" w:rsidRPr="00BA49E9" w:rsidRDefault="00BA49E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87778F" w:rsidRPr="00BA49E9" w:rsidRDefault="00BA49E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7778F" w:rsidRDefault="00BA49E9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87778F" w:rsidRDefault="00BA49E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7778F" w:rsidRPr="00BA49E9" w:rsidRDefault="00BA49E9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87778F" w:rsidRPr="00BA49E9" w:rsidRDefault="00BA49E9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7778F" w:rsidRDefault="00BA49E9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87778F" w:rsidRDefault="00BA49E9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ситуации на основе сформированных предметных,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7B20AB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3.  С целью реализации ФОП в план непрерывного профессионального образования педагогических и управленческих кадров в </w:t>
      </w:r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7B20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19 </w:t>
      </w:r>
      <w:proofErr w:type="spellStart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87778F" w:rsidRPr="00BA49E9" w:rsidRDefault="00BA49E9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87778F" w:rsidRDefault="00BA49E9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, присутствующих на заседании. Признаны соответствующими занимаемой должности –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DF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DFE" w:rsidRPr="00BA49E9" w:rsidRDefault="007A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 педагога аттестовались на высшую категорию.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87778F" w:rsidRDefault="007A6DF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BA49E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="00BA49E9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BA49E9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BA49E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49E9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BA49E9">
        <w:rPr>
          <w:rFonts w:hAnsi="Times New Roman" w:cs="Times New Roman"/>
          <w:color w:val="000000"/>
          <w:sz w:val="24"/>
          <w:szCs w:val="24"/>
        </w:rPr>
        <w:t xml:space="preserve"> категорию;</w:t>
      </w:r>
    </w:p>
    <w:p w:rsidR="0087778F" w:rsidRDefault="007A6DF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 педагогов – соответствие занимаемой должности</w:t>
      </w:r>
      <w:r w:rsidR="00BA49E9">
        <w:rPr>
          <w:rFonts w:hAnsi="Times New Roman" w:cs="Times New Roman"/>
          <w:color w:val="000000"/>
          <w:sz w:val="24"/>
          <w:szCs w:val="24"/>
        </w:rPr>
        <w:t>;</w:t>
      </w:r>
    </w:p>
    <w:p w:rsidR="007A6DFE" w:rsidRPr="007A6DFE" w:rsidRDefault="007A6DF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педагога-без категории.</w:t>
      </w:r>
    </w:p>
    <w:p w:rsidR="007A6DFE" w:rsidRDefault="007A6DFE" w:rsidP="007A6DF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6DFE" w:rsidRDefault="007A6DFE" w:rsidP="007A6DF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87778F" w:rsidRDefault="00BA49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B83268" w:rsidRDefault="00B83268" w:rsidP="00B8326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9346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3268" w:rsidRDefault="00B83268" w:rsidP="00B8326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3268" w:rsidRDefault="00B83268" w:rsidP="00B8326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3268" w:rsidRDefault="00B83268" w:rsidP="00B83268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2329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B83268" w:rsidRPr="00956F7A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BA49E9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1439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1698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3268" w:rsidTr="00A22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268" w:rsidRPr="005349C3" w:rsidRDefault="00B83268" w:rsidP="00A22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сетевые образовательные ресурсы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0, мультимедийные средства (презентации, электронные энциклопедии, дидактические материалы)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83268" w:rsidRPr="00BA49E9" w:rsidRDefault="00B83268" w:rsidP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XI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B83268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B83268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87778F" w:rsidRDefault="00BA49E9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78F" w:rsidRDefault="00BA49E9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8326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</w:t>
      </w:r>
      <w:r w:rsidR="00B83268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87778F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B83268" w:rsidRDefault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268" w:rsidRDefault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268" w:rsidRDefault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268" w:rsidRPr="00BA49E9" w:rsidRDefault="00B832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78F" w:rsidRPr="00BA49E9" w:rsidRDefault="00BA49E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A49E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87778F" w:rsidRPr="00BA49E9" w:rsidRDefault="00BA49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777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51C7C" w:rsidRDefault="00051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51C7C" w:rsidRDefault="00051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51C7C" w:rsidRDefault="00051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51C7C" w:rsidRDefault="00051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051C7C" w:rsidRDefault="00051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 w:rsidP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(41,6)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5(41,6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32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(49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32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(16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32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(33%)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32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932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(33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77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8777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 w:rsidR="00BA49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7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Pr="00BA49E9" w:rsidRDefault="00BA49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9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BA49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78F" w:rsidRDefault="00051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18,5</w:t>
            </w:r>
            <w:r w:rsidR="00BA49E9">
              <w:br/>
            </w:r>
          </w:p>
        </w:tc>
      </w:tr>
    </w:tbl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87778F" w:rsidRPr="00BA49E9" w:rsidRDefault="00BA4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2A3EF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№ 19 </w:t>
      </w:r>
      <w:proofErr w:type="spellStart"/>
      <w:r w:rsidR="002A3EFF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2A3EFF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2A3EFF">
        <w:rPr>
          <w:rFonts w:hAnsi="Times New Roman" w:cs="Times New Roman"/>
          <w:color w:val="000000"/>
          <w:sz w:val="24"/>
          <w:szCs w:val="24"/>
          <w:lang w:val="ru-RU"/>
        </w:rPr>
        <w:t>ижнезольского</w:t>
      </w:r>
      <w:proofErr w:type="spellEnd"/>
      <w:r w:rsidR="002A3E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49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</w:t>
      </w:r>
    </w:p>
    <w:p w:rsidR="0087778F" w:rsidRPr="002A3EFF" w:rsidRDefault="008777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778F" w:rsidRPr="002A3EFF" w:rsidSect="00B71D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47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20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D3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27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04AF3"/>
    <w:multiLevelType w:val="multilevel"/>
    <w:tmpl w:val="1A96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71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D6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E2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40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B5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26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F5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B5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B3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A3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F4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76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361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C3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A1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7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B3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C25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C5A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B3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8F3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C2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3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012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F1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17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BC7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056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07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C49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B0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F22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A97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26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E2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5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0E3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291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36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A02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75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497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C5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2"/>
  </w:num>
  <w:num w:numId="3">
    <w:abstractNumId w:val="20"/>
  </w:num>
  <w:num w:numId="4">
    <w:abstractNumId w:val="21"/>
  </w:num>
  <w:num w:numId="5">
    <w:abstractNumId w:val="8"/>
  </w:num>
  <w:num w:numId="6">
    <w:abstractNumId w:val="26"/>
  </w:num>
  <w:num w:numId="7">
    <w:abstractNumId w:val="40"/>
  </w:num>
  <w:num w:numId="8">
    <w:abstractNumId w:val="4"/>
  </w:num>
  <w:num w:numId="9">
    <w:abstractNumId w:val="24"/>
  </w:num>
  <w:num w:numId="10">
    <w:abstractNumId w:val="0"/>
  </w:num>
  <w:num w:numId="11">
    <w:abstractNumId w:val="6"/>
  </w:num>
  <w:num w:numId="12">
    <w:abstractNumId w:val="47"/>
  </w:num>
  <w:num w:numId="13">
    <w:abstractNumId w:val="33"/>
  </w:num>
  <w:num w:numId="14">
    <w:abstractNumId w:val="31"/>
  </w:num>
  <w:num w:numId="15">
    <w:abstractNumId w:val="7"/>
  </w:num>
  <w:num w:numId="16">
    <w:abstractNumId w:val="48"/>
  </w:num>
  <w:num w:numId="17">
    <w:abstractNumId w:val="45"/>
  </w:num>
  <w:num w:numId="18">
    <w:abstractNumId w:val="15"/>
  </w:num>
  <w:num w:numId="19">
    <w:abstractNumId w:val="18"/>
  </w:num>
  <w:num w:numId="20">
    <w:abstractNumId w:val="17"/>
  </w:num>
  <w:num w:numId="21">
    <w:abstractNumId w:val="2"/>
  </w:num>
  <w:num w:numId="22">
    <w:abstractNumId w:val="32"/>
  </w:num>
  <w:num w:numId="23">
    <w:abstractNumId w:val="44"/>
  </w:num>
  <w:num w:numId="24">
    <w:abstractNumId w:val="37"/>
  </w:num>
  <w:num w:numId="25">
    <w:abstractNumId w:val="12"/>
  </w:num>
  <w:num w:numId="26">
    <w:abstractNumId w:val="39"/>
  </w:num>
  <w:num w:numId="27">
    <w:abstractNumId w:val="27"/>
  </w:num>
  <w:num w:numId="28">
    <w:abstractNumId w:val="23"/>
  </w:num>
  <w:num w:numId="29">
    <w:abstractNumId w:val="36"/>
  </w:num>
  <w:num w:numId="30">
    <w:abstractNumId w:val="46"/>
  </w:num>
  <w:num w:numId="31">
    <w:abstractNumId w:val="10"/>
  </w:num>
  <w:num w:numId="32">
    <w:abstractNumId w:val="38"/>
  </w:num>
  <w:num w:numId="33">
    <w:abstractNumId w:val="22"/>
  </w:num>
  <w:num w:numId="34">
    <w:abstractNumId w:val="16"/>
  </w:num>
  <w:num w:numId="35">
    <w:abstractNumId w:val="34"/>
  </w:num>
  <w:num w:numId="36">
    <w:abstractNumId w:val="25"/>
  </w:num>
  <w:num w:numId="37">
    <w:abstractNumId w:val="30"/>
  </w:num>
  <w:num w:numId="38">
    <w:abstractNumId w:val="35"/>
  </w:num>
  <w:num w:numId="39">
    <w:abstractNumId w:val="1"/>
  </w:num>
  <w:num w:numId="40">
    <w:abstractNumId w:val="3"/>
  </w:num>
  <w:num w:numId="41">
    <w:abstractNumId w:val="11"/>
  </w:num>
  <w:num w:numId="42">
    <w:abstractNumId w:val="14"/>
  </w:num>
  <w:num w:numId="43">
    <w:abstractNumId w:val="29"/>
  </w:num>
  <w:num w:numId="44">
    <w:abstractNumId w:val="13"/>
  </w:num>
  <w:num w:numId="45">
    <w:abstractNumId w:val="28"/>
  </w:num>
  <w:num w:numId="46">
    <w:abstractNumId w:val="41"/>
  </w:num>
  <w:num w:numId="47">
    <w:abstractNumId w:val="49"/>
  </w:num>
  <w:num w:numId="48">
    <w:abstractNumId w:val="19"/>
  </w:num>
  <w:num w:numId="49">
    <w:abstractNumId w:val="43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5A05CE"/>
    <w:rsid w:val="00051C7C"/>
    <w:rsid w:val="00082AA8"/>
    <w:rsid w:val="000C60A2"/>
    <w:rsid w:val="000E63FA"/>
    <w:rsid w:val="00130618"/>
    <w:rsid w:val="001F000B"/>
    <w:rsid w:val="00247949"/>
    <w:rsid w:val="002A3EFF"/>
    <w:rsid w:val="002D33B1"/>
    <w:rsid w:val="002D3591"/>
    <w:rsid w:val="003514A0"/>
    <w:rsid w:val="003A6179"/>
    <w:rsid w:val="004A47AA"/>
    <w:rsid w:val="004F7E17"/>
    <w:rsid w:val="005638B9"/>
    <w:rsid w:val="005A05CE"/>
    <w:rsid w:val="00653AF6"/>
    <w:rsid w:val="00664510"/>
    <w:rsid w:val="006927B1"/>
    <w:rsid w:val="007A6DFE"/>
    <w:rsid w:val="007B20AB"/>
    <w:rsid w:val="007F4394"/>
    <w:rsid w:val="0087778F"/>
    <w:rsid w:val="00924A79"/>
    <w:rsid w:val="0093212C"/>
    <w:rsid w:val="00934FDB"/>
    <w:rsid w:val="00956F7A"/>
    <w:rsid w:val="009E3C84"/>
    <w:rsid w:val="00A15A01"/>
    <w:rsid w:val="00B71D30"/>
    <w:rsid w:val="00B73A5A"/>
    <w:rsid w:val="00B83268"/>
    <w:rsid w:val="00BA49E9"/>
    <w:rsid w:val="00BF16A8"/>
    <w:rsid w:val="00C21223"/>
    <w:rsid w:val="00E438A1"/>
    <w:rsid w:val="00E90B59"/>
    <w:rsid w:val="00EA5A51"/>
    <w:rsid w:val="00F01E19"/>
    <w:rsid w:val="00F0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A6179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A5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EA5A5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A5A51"/>
  </w:style>
  <w:style w:type="paragraph" w:styleId="a7">
    <w:name w:val="footer"/>
    <w:basedOn w:val="a"/>
    <w:link w:val="a8"/>
    <w:uiPriority w:val="99"/>
    <w:unhideWhenUsed/>
    <w:rsid w:val="00EA5A5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A5A51"/>
  </w:style>
  <w:style w:type="table" w:customStyle="1" w:styleId="11">
    <w:name w:val="Сетка таблицы1"/>
    <w:basedOn w:val="a1"/>
    <w:next w:val="a3"/>
    <w:uiPriority w:val="59"/>
    <w:rsid w:val="00EA5A5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5A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48</Pages>
  <Words>11990</Words>
  <Characters>68345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</cp:lastModifiedBy>
  <cp:revision>6</cp:revision>
  <cp:lastPrinted>2024-05-10T11:34:00Z</cp:lastPrinted>
  <dcterms:created xsi:type="dcterms:W3CDTF">2024-04-25T12:14:00Z</dcterms:created>
  <dcterms:modified xsi:type="dcterms:W3CDTF">2024-05-14T19:06:00Z</dcterms:modified>
</cp:coreProperties>
</file>